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ABC" w:rsidRDefault="00C51ABC">
      <w:pPr>
        <w:pStyle w:val="BodyText"/>
        <w:rPr>
          <w:rFonts w:ascii="Times New Roman"/>
        </w:rPr>
      </w:pPr>
    </w:p>
    <w:p w:rsidR="00C51ABC" w:rsidRDefault="00C51ABC">
      <w:pPr>
        <w:pStyle w:val="BodyText"/>
        <w:rPr>
          <w:rFonts w:ascii="Times New Roman"/>
        </w:rPr>
      </w:pPr>
    </w:p>
    <w:p w:rsidR="00C51ABC" w:rsidRDefault="00C51ABC">
      <w:pPr>
        <w:pStyle w:val="BodyText"/>
        <w:rPr>
          <w:rFonts w:ascii="Times New Roman"/>
        </w:rPr>
      </w:pPr>
    </w:p>
    <w:p w:rsidR="00C51ABC" w:rsidRDefault="00C51ABC">
      <w:pPr>
        <w:pStyle w:val="BodyText"/>
        <w:rPr>
          <w:rFonts w:ascii="Times New Roman"/>
        </w:rPr>
      </w:pPr>
    </w:p>
    <w:p w:rsidR="00C51ABC" w:rsidRDefault="00C51ABC">
      <w:pPr>
        <w:pStyle w:val="BodyText"/>
        <w:rPr>
          <w:rFonts w:ascii="Times New Roman"/>
        </w:rPr>
      </w:pPr>
      <w:bookmarkStart w:id="0" w:name="_GoBack"/>
      <w:bookmarkEnd w:id="0"/>
    </w:p>
    <w:p w:rsidR="00C51ABC" w:rsidRDefault="00C51ABC">
      <w:pPr>
        <w:pStyle w:val="BodyText"/>
        <w:rPr>
          <w:rFonts w:ascii="Times New Roman"/>
        </w:rPr>
      </w:pPr>
    </w:p>
    <w:p w:rsidR="00C51ABC" w:rsidRDefault="00C51ABC">
      <w:pPr>
        <w:pStyle w:val="BodyText"/>
        <w:rPr>
          <w:rFonts w:ascii="Times New Roman"/>
        </w:rPr>
      </w:pPr>
    </w:p>
    <w:p w:rsidR="00C51ABC" w:rsidRDefault="00C51ABC">
      <w:pPr>
        <w:pStyle w:val="BodyText"/>
        <w:rPr>
          <w:rFonts w:ascii="Times New Roman"/>
        </w:rPr>
      </w:pPr>
    </w:p>
    <w:p w:rsidR="00C51ABC" w:rsidRDefault="00C51ABC">
      <w:pPr>
        <w:pStyle w:val="BodyText"/>
        <w:rPr>
          <w:rFonts w:ascii="Times New Roman"/>
        </w:rPr>
      </w:pPr>
    </w:p>
    <w:p w:rsidR="00C51ABC" w:rsidRDefault="00C51ABC">
      <w:pPr>
        <w:pStyle w:val="BodyText"/>
        <w:spacing w:before="61"/>
        <w:rPr>
          <w:rFonts w:ascii="Times New Roman"/>
        </w:rPr>
      </w:pPr>
    </w:p>
    <w:p w:rsidR="00C51ABC" w:rsidRDefault="007E73BE">
      <w:pPr>
        <w:pStyle w:val="BodyText"/>
        <w:ind w:left="12"/>
      </w:pPr>
      <w:r>
        <w:rPr>
          <w:spacing w:val="-2"/>
        </w:rPr>
        <w:t>Glossary:</w:t>
      </w:r>
    </w:p>
    <w:p w:rsidR="00C51ABC" w:rsidRDefault="007E73BE">
      <w:pPr>
        <w:pStyle w:val="BodyText"/>
        <w:spacing w:before="182"/>
        <w:ind w:left="12"/>
      </w:pPr>
      <w:r>
        <w:t>Exp+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Expected and</w:t>
      </w:r>
      <w:r>
        <w:rPr>
          <w:spacing w:val="-2"/>
        </w:rPr>
        <w:t xml:space="preserve"> </w:t>
      </w:r>
      <w:r>
        <w:t>GD</w:t>
      </w:r>
      <w:r>
        <w:rPr>
          <w:spacing w:val="-1"/>
        </w:rPr>
        <w:t xml:space="preserve"> </w:t>
      </w:r>
      <w:r>
        <w:rPr>
          <w:spacing w:val="-2"/>
        </w:rPr>
        <w:t>together</w:t>
      </w:r>
    </w:p>
    <w:p w:rsidR="00C51ABC" w:rsidRDefault="007E73BE">
      <w:pPr>
        <w:pStyle w:val="BodyText"/>
        <w:spacing w:before="41" w:line="403" w:lineRule="auto"/>
        <w:ind w:left="917" w:right="2778" w:hanging="905"/>
      </w:pPr>
      <w:r>
        <w:br w:type="column"/>
      </w:r>
      <w:r>
        <w:t>Primary</w:t>
      </w:r>
      <w:r>
        <w:rPr>
          <w:spacing w:val="-9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20</w:t>
      </w:r>
      <w:r w:rsidR="00DC02CB">
        <w:t xml:space="preserve">25 </w:t>
      </w:r>
      <w:r>
        <w:t>SHEVINGTON VALE</w:t>
      </w:r>
    </w:p>
    <w:p w:rsidR="00C51ABC" w:rsidRDefault="007E73BE">
      <w:pPr>
        <w:pStyle w:val="BodyText"/>
        <w:spacing w:before="2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3313429</wp:posOffset>
            </wp:positionH>
            <wp:positionV relativeFrom="paragraph">
              <wp:posOffset>109993</wp:posOffset>
            </wp:positionV>
            <wp:extent cx="930452" cy="66960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452" cy="669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1ABC" w:rsidRDefault="00C51ABC">
      <w:pPr>
        <w:pStyle w:val="BodyText"/>
        <w:rPr>
          <w:sz w:val="12"/>
        </w:rPr>
        <w:sectPr w:rsidR="00C51ABC">
          <w:footerReference w:type="default" r:id="rId7"/>
          <w:type w:val="continuous"/>
          <w:pgSz w:w="11910" w:h="16840"/>
          <w:pgMar w:top="680" w:right="1417" w:bottom="1200" w:left="708" w:header="0" w:footer="1001" w:gutter="0"/>
          <w:pgNumType w:start="1"/>
          <w:cols w:num="2" w:space="720" w:equalWidth="0">
            <w:col w:w="3014" w:space="462"/>
            <w:col w:w="6309"/>
          </w:cols>
        </w:sectPr>
      </w:pPr>
    </w:p>
    <w:p w:rsidR="00C51ABC" w:rsidRDefault="007E73BE">
      <w:pPr>
        <w:pStyle w:val="BodyText"/>
        <w:spacing w:before="182"/>
        <w:ind w:left="62"/>
      </w:pPr>
      <w:r>
        <w:t>GD</w:t>
      </w:r>
      <w:r>
        <w:rPr>
          <w:spacing w:val="-5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Depth</w:t>
      </w:r>
      <w:r>
        <w:rPr>
          <w:spacing w:val="-2"/>
        </w:rPr>
        <w:t xml:space="preserve"> </w:t>
      </w:r>
      <w:r>
        <w:t>(those</w:t>
      </w:r>
      <w:r>
        <w:rPr>
          <w:spacing w:val="-2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rPr>
          <w:spacing w:val="-2"/>
        </w:rPr>
        <w:t>standard)</w:t>
      </w:r>
    </w:p>
    <w:p w:rsidR="00C51ABC" w:rsidRDefault="00C51ABC">
      <w:pPr>
        <w:pStyle w:val="BodyText"/>
        <w:spacing w:before="10"/>
        <w:rPr>
          <w:sz w:val="14"/>
        </w:rPr>
      </w:pPr>
    </w:p>
    <w:tbl>
      <w:tblPr>
        <w:tblW w:w="0" w:type="auto"/>
        <w:tblInd w:w="80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1435"/>
        <w:gridCol w:w="2041"/>
        <w:gridCol w:w="2271"/>
        <w:gridCol w:w="1426"/>
      </w:tblGrid>
      <w:tr w:rsidR="00C51ABC">
        <w:trPr>
          <w:trHeight w:val="1075"/>
        </w:trPr>
        <w:tc>
          <w:tcPr>
            <w:tcW w:w="1766" w:type="dxa"/>
          </w:tcPr>
          <w:p w:rsidR="00C51ABC" w:rsidRDefault="007E73BE">
            <w:pPr>
              <w:pStyle w:val="TableParagraph"/>
              <w:ind w:left="69" w:right="10"/>
            </w:pPr>
            <w:r>
              <w:rPr>
                <w:spacing w:val="-4"/>
              </w:rPr>
              <w:t>Area</w:t>
            </w:r>
          </w:p>
          <w:p w:rsidR="00C51ABC" w:rsidRDefault="00C51ABC">
            <w:pPr>
              <w:pStyle w:val="TableParagraph"/>
              <w:spacing w:before="268"/>
              <w:ind w:left="0"/>
              <w:jc w:val="left"/>
            </w:pPr>
          </w:p>
          <w:p w:rsidR="00C51ABC" w:rsidRDefault="00C51ABC" w:rsidP="006D4885">
            <w:pPr>
              <w:pStyle w:val="TableParagraph"/>
              <w:spacing w:line="249" w:lineRule="exact"/>
              <w:ind w:left="69" w:right="13"/>
              <w:jc w:val="left"/>
            </w:pPr>
          </w:p>
        </w:tc>
        <w:tc>
          <w:tcPr>
            <w:tcW w:w="3476" w:type="dxa"/>
            <w:gridSpan w:val="2"/>
            <w:shd w:val="clear" w:color="auto" w:fill="B4C5E7"/>
          </w:tcPr>
          <w:p w:rsidR="00C51ABC" w:rsidRDefault="007E73BE">
            <w:pPr>
              <w:pStyle w:val="TableParagraph"/>
              <w:ind w:left="530"/>
              <w:jc w:val="left"/>
            </w:pPr>
            <w:r>
              <w:t>July</w:t>
            </w:r>
            <w:r>
              <w:rPr>
                <w:spacing w:val="-5"/>
              </w:rPr>
              <w:t xml:space="preserve"> </w:t>
            </w:r>
            <w:r>
              <w:t>202</w:t>
            </w:r>
            <w:r w:rsidR="00DF3327">
              <w:t>5</w:t>
            </w:r>
            <w:r>
              <w:rPr>
                <w:spacing w:val="-2"/>
              </w:rPr>
              <w:t xml:space="preserve"> </w:t>
            </w:r>
            <w:r>
              <w:t>National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Average</w:t>
            </w:r>
          </w:p>
        </w:tc>
        <w:tc>
          <w:tcPr>
            <w:tcW w:w="3697" w:type="dxa"/>
            <w:gridSpan w:val="2"/>
            <w:shd w:val="clear" w:color="auto" w:fill="B4C5E7"/>
          </w:tcPr>
          <w:p w:rsidR="00C51ABC" w:rsidRDefault="007E73BE">
            <w:pPr>
              <w:pStyle w:val="TableParagraph"/>
              <w:spacing w:before="2" w:line="237" w:lineRule="auto"/>
              <w:ind w:left="1315" w:hanging="1001"/>
              <w:jc w:val="left"/>
            </w:pPr>
            <w:r>
              <w:t>July</w:t>
            </w:r>
            <w:r>
              <w:rPr>
                <w:spacing w:val="-10"/>
              </w:rPr>
              <w:t xml:space="preserve"> </w:t>
            </w:r>
            <w:r>
              <w:t>202</w:t>
            </w:r>
            <w:r w:rsidR="00DF3327">
              <w:t>5</w:t>
            </w:r>
            <w:r>
              <w:rPr>
                <w:spacing w:val="-11"/>
              </w:rPr>
              <w:t xml:space="preserve"> </w:t>
            </w:r>
            <w:r>
              <w:t>Shevington</w:t>
            </w:r>
            <w:r>
              <w:rPr>
                <w:spacing w:val="-11"/>
              </w:rPr>
              <w:t xml:space="preserve"> </w:t>
            </w:r>
            <w:r>
              <w:t>Vale</w:t>
            </w:r>
            <w:r>
              <w:rPr>
                <w:spacing w:val="-10"/>
              </w:rPr>
              <w:t xml:space="preserve"> </w:t>
            </w:r>
            <w:r>
              <w:t>Primary School Data</w:t>
            </w:r>
          </w:p>
        </w:tc>
      </w:tr>
      <w:tr w:rsidR="00C51ABC">
        <w:trPr>
          <w:trHeight w:val="560"/>
        </w:trPr>
        <w:tc>
          <w:tcPr>
            <w:tcW w:w="1766" w:type="dxa"/>
          </w:tcPr>
          <w:p w:rsidR="00C51ABC" w:rsidRDefault="007E73BE">
            <w:pPr>
              <w:pStyle w:val="TableParagraph"/>
              <w:ind w:left="69" w:right="3"/>
              <w:rPr>
                <w:sz w:val="20"/>
              </w:rPr>
            </w:pPr>
            <w:r>
              <w:rPr>
                <w:spacing w:val="-4"/>
                <w:sz w:val="20"/>
              </w:rPr>
              <w:t>EYFS</w:t>
            </w:r>
          </w:p>
          <w:p w:rsidR="00C51ABC" w:rsidRDefault="007E73BE">
            <w:pPr>
              <w:pStyle w:val="TableParagraph"/>
              <w:spacing w:before="1"/>
              <w:ind w:left="69" w:right="4"/>
              <w:rPr>
                <w:sz w:val="20"/>
              </w:rPr>
            </w:pPr>
            <w:r>
              <w:rPr>
                <w:spacing w:val="-2"/>
                <w:sz w:val="20"/>
              </w:rPr>
              <w:t>Reception</w:t>
            </w:r>
          </w:p>
        </w:tc>
        <w:tc>
          <w:tcPr>
            <w:tcW w:w="3476" w:type="dxa"/>
            <w:gridSpan w:val="2"/>
          </w:tcPr>
          <w:p w:rsidR="00C51ABC" w:rsidRDefault="007E73BE">
            <w:pPr>
              <w:pStyle w:val="TableParagraph"/>
              <w:spacing w:before="1"/>
              <w:ind w:left="64"/>
            </w:pPr>
            <w:r>
              <w:rPr>
                <w:spacing w:val="-5"/>
              </w:rPr>
              <w:t>GLD</w:t>
            </w:r>
          </w:p>
          <w:p w:rsidR="00C51ABC" w:rsidRDefault="000E4A59">
            <w:pPr>
              <w:pStyle w:val="TableParagraph"/>
              <w:spacing w:before="21" w:line="249" w:lineRule="exact"/>
              <w:ind w:left="64" w:right="4"/>
            </w:pPr>
            <w:r>
              <w:t>68.3%</w:t>
            </w:r>
          </w:p>
        </w:tc>
        <w:tc>
          <w:tcPr>
            <w:tcW w:w="3697" w:type="dxa"/>
            <w:gridSpan w:val="2"/>
          </w:tcPr>
          <w:p w:rsidR="00C51ABC" w:rsidRDefault="007E73BE">
            <w:pPr>
              <w:pStyle w:val="TableParagraph"/>
              <w:spacing w:before="3" w:line="237" w:lineRule="auto"/>
              <w:ind w:left="1656" w:right="1599" w:firstLine="9"/>
              <w:rPr>
                <w:spacing w:val="-4"/>
              </w:rPr>
            </w:pPr>
            <w:r>
              <w:rPr>
                <w:spacing w:val="-4"/>
              </w:rPr>
              <w:t>GLD</w:t>
            </w:r>
          </w:p>
          <w:p w:rsidR="000E4A59" w:rsidRDefault="000E4A59" w:rsidP="00DF3327">
            <w:pPr>
              <w:pStyle w:val="TableParagraph"/>
              <w:spacing w:before="3" w:line="237" w:lineRule="auto"/>
              <w:ind w:left="1656" w:right="1599"/>
              <w:jc w:val="left"/>
            </w:pPr>
            <w:r>
              <w:t>7</w:t>
            </w:r>
            <w:r w:rsidR="00DF3327">
              <w:t>5</w:t>
            </w:r>
            <w:r>
              <w:t>%</w:t>
            </w:r>
          </w:p>
        </w:tc>
      </w:tr>
      <w:tr w:rsidR="00C51ABC">
        <w:trPr>
          <w:trHeight w:val="655"/>
        </w:trPr>
        <w:tc>
          <w:tcPr>
            <w:tcW w:w="1766" w:type="dxa"/>
          </w:tcPr>
          <w:p w:rsidR="00C51ABC" w:rsidRDefault="007E73BE">
            <w:pPr>
              <w:pStyle w:val="TableParagraph"/>
              <w:ind w:left="485" w:right="381" w:hanging="40"/>
              <w:jc w:val="left"/>
              <w:rPr>
                <w:sz w:val="20"/>
              </w:rPr>
            </w:pPr>
            <w:r>
              <w:rPr>
                <w:sz w:val="20"/>
              </w:rPr>
              <w:t>Y1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Phonics </w:t>
            </w:r>
            <w:r>
              <w:rPr>
                <w:spacing w:val="-2"/>
                <w:sz w:val="20"/>
              </w:rPr>
              <w:t>Screening</w:t>
            </w:r>
          </w:p>
        </w:tc>
        <w:tc>
          <w:tcPr>
            <w:tcW w:w="3476" w:type="dxa"/>
            <w:gridSpan w:val="2"/>
          </w:tcPr>
          <w:p w:rsidR="00C51ABC" w:rsidRDefault="000E4A59">
            <w:pPr>
              <w:pStyle w:val="TableParagraph"/>
              <w:spacing w:line="264" w:lineRule="exact"/>
              <w:ind w:left="64" w:right="2"/>
            </w:pPr>
            <w:r>
              <w:t>79.9%</w:t>
            </w:r>
          </w:p>
        </w:tc>
        <w:tc>
          <w:tcPr>
            <w:tcW w:w="3697" w:type="dxa"/>
            <w:gridSpan w:val="2"/>
          </w:tcPr>
          <w:p w:rsidR="00C51ABC" w:rsidRPr="00A57BC4" w:rsidRDefault="00A57BC4" w:rsidP="00A57BC4">
            <w:pPr>
              <w:pStyle w:val="TableParagraph"/>
              <w:spacing w:line="264" w:lineRule="exact"/>
              <w:ind w:left="100" w:right="50"/>
            </w:pPr>
            <w:r w:rsidRPr="00A57BC4">
              <w:t>72</w:t>
            </w:r>
            <w:r w:rsidR="000E4A59">
              <w:t>.4</w:t>
            </w:r>
            <w:r w:rsidRPr="00A57BC4">
              <w:t>%</w:t>
            </w:r>
          </w:p>
        </w:tc>
      </w:tr>
      <w:tr w:rsidR="00A57BC4">
        <w:trPr>
          <w:trHeight w:val="285"/>
        </w:trPr>
        <w:tc>
          <w:tcPr>
            <w:tcW w:w="1766" w:type="dxa"/>
          </w:tcPr>
          <w:p w:rsidR="00A57BC4" w:rsidRDefault="00A57BC4">
            <w:pPr>
              <w:pStyle w:val="TableParagraph"/>
              <w:spacing w:line="244" w:lineRule="exact"/>
              <w:ind w:left="450"/>
              <w:jc w:val="left"/>
              <w:rPr>
                <w:sz w:val="20"/>
              </w:rPr>
            </w:pPr>
            <w:r>
              <w:rPr>
                <w:sz w:val="20"/>
              </w:rPr>
              <w:t>Y4 MTC</w:t>
            </w:r>
          </w:p>
        </w:tc>
        <w:tc>
          <w:tcPr>
            <w:tcW w:w="3476" w:type="dxa"/>
            <w:gridSpan w:val="2"/>
          </w:tcPr>
          <w:p w:rsidR="00A57BC4" w:rsidRDefault="00DF3327">
            <w:pPr>
              <w:pStyle w:val="TableParagraph"/>
              <w:spacing w:line="264" w:lineRule="exact"/>
              <w:ind w:left="64" w:right="2"/>
            </w:pPr>
            <w:r>
              <w:t>N/A</w:t>
            </w:r>
          </w:p>
          <w:p w:rsidR="00A57BC4" w:rsidRDefault="00A57BC4">
            <w:pPr>
              <w:pStyle w:val="TableParagraph"/>
              <w:spacing w:line="264" w:lineRule="exact"/>
              <w:ind w:left="64" w:right="2"/>
            </w:pPr>
          </w:p>
        </w:tc>
        <w:tc>
          <w:tcPr>
            <w:tcW w:w="3697" w:type="dxa"/>
            <w:gridSpan w:val="2"/>
          </w:tcPr>
          <w:p w:rsidR="00A57BC4" w:rsidRPr="00A57BC4" w:rsidRDefault="00A57BC4" w:rsidP="00A57BC4">
            <w:pPr>
              <w:pStyle w:val="TableParagraph"/>
              <w:spacing w:line="264" w:lineRule="exact"/>
              <w:ind w:left="100"/>
            </w:pPr>
            <w:r w:rsidRPr="00A57BC4">
              <w:t>71%</w:t>
            </w:r>
          </w:p>
        </w:tc>
      </w:tr>
      <w:tr w:rsidR="00C51ABC">
        <w:trPr>
          <w:trHeight w:val="590"/>
        </w:trPr>
        <w:tc>
          <w:tcPr>
            <w:tcW w:w="1766" w:type="dxa"/>
            <w:vMerge w:val="restart"/>
          </w:tcPr>
          <w:p w:rsidR="00C51ABC" w:rsidRDefault="007E73BE">
            <w:pPr>
              <w:pStyle w:val="TableParagraph"/>
              <w:ind w:left="660" w:hanging="421"/>
              <w:jc w:val="left"/>
            </w:pPr>
            <w:r>
              <w:t>Y6</w:t>
            </w:r>
            <w:r>
              <w:rPr>
                <w:spacing w:val="-13"/>
              </w:rPr>
              <w:t xml:space="preserve"> </w:t>
            </w:r>
            <w:r>
              <w:t>SAT</w:t>
            </w:r>
            <w:r>
              <w:rPr>
                <w:spacing w:val="-12"/>
              </w:rPr>
              <w:t xml:space="preserve"> </w:t>
            </w:r>
            <w:r>
              <w:t xml:space="preserve">Results </w:t>
            </w:r>
          </w:p>
        </w:tc>
        <w:tc>
          <w:tcPr>
            <w:tcW w:w="1435" w:type="dxa"/>
            <w:shd w:val="clear" w:color="auto" w:fill="FFF1CC"/>
          </w:tcPr>
          <w:p w:rsidR="00C51ABC" w:rsidRDefault="007E73BE">
            <w:pPr>
              <w:pStyle w:val="TableParagraph"/>
              <w:ind w:left="500" w:right="294" w:hanging="145"/>
              <w:jc w:val="left"/>
            </w:pPr>
            <w:r>
              <w:rPr>
                <w:spacing w:val="-2"/>
              </w:rPr>
              <w:t xml:space="preserve">Reading </w:t>
            </w:r>
            <w:r>
              <w:rPr>
                <w:spacing w:val="-4"/>
              </w:rPr>
              <w:t>Exp+</w:t>
            </w:r>
          </w:p>
        </w:tc>
        <w:tc>
          <w:tcPr>
            <w:tcW w:w="2041" w:type="dxa"/>
            <w:shd w:val="clear" w:color="auto" w:fill="FFF1CC"/>
          </w:tcPr>
          <w:p w:rsidR="00C51ABC" w:rsidRDefault="000E4A59">
            <w:pPr>
              <w:pStyle w:val="TableParagraph"/>
              <w:ind w:left="106" w:right="50"/>
            </w:pPr>
            <w:r>
              <w:t>75.1%</w:t>
            </w:r>
          </w:p>
        </w:tc>
        <w:tc>
          <w:tcPr>
            <w:tcW w:w="2271" w:type="dxa"/>
            <w:shd w:val="clear" w:color="auto" w:fill="FFF1CC"/>
          </w:tcPr>
          <w:p w:rsidR="00C51ABC" w:rsidRDefault="007E73BE">
            <w:pPr>
              <w:pStyle w:val="TableParagraph"/>
              <w:ind w:left="920" w:right="711" w:hanging="146"/>
              <w:jc w:val="left"/>
            </w:pPr>
            <w:r>
              <w:rPr>
                <w:spacing w:val="-2"/>
              </w:rPr>
              <w:t xml:space="preserve">Reading </w:t>
            </w:r>
            <w:r>
              <w:rPr>
                <w:spacing w:val="-4"/>
              </w:rPr>
              <w:t>Exp+</w:t>
            </w:r>
          </w:p>
        </w:tc>
        <w:tc>
          <w:tcPr>
            <w:tcW w:w="1426" w:type="dxa"/>
            <w:shd w:val="clear" w:color="auto" w:fill="FFF1CC"/>
          </w:tcPr>
          <w:p w:rsidR="00C51ABC" w:rsidRDefault="000E4A59">
            <w:pPr>
              <w:pStyle w:val="TableParagraph"/>
              <w:ind w:right="7"/>
            </w:pPr>
            <w:r>
              <w:t>76.7%</w:t>
            </w:r>
          </w:p>
        </w:tc>
      </w:tr>
      <w:tr w:rsidR="00C51ABC">
        <w:trPr>
          <w:trHeight w:val="760"/>
        </w:trPr>
        <w:tc>
          <w:tcPr>
            <w:tcW w:w="1766" w:type="dxa"/>
            <w:vMerge/>
            <w:tcBorders>
              <w:top w:val="nil"/>
            </w:tcBorders>
          </w:tcPr>
          <w:p w:rsidR="00C51ABC" w:rsidRDefault="00C51ABC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shd w:val="clear" w:color="auto" w:fill="FFF1CC"/>
          </w:tcPr>
          <w:p w:rsidR="00C51ABC" w:rsidRDefault="007E73BE">
            <w:pPr>
              <w:pStyle w:val="TableParagraph"/>
              <w:spacing w:line="242" w:lineRule="auto"/>
              <w:ind w:left="580" w:right="294" w:hanging="225"/>
              <w:jc w:val="left"/>
            </w:pPr>
            <w:r>
              <w:rPr>
                <w:spacing w:val="-2"/>
              </w:rPr>
              <w:t xml:space="preserve">Reading </w:t>
            </w:r>
            <w:r>
              <w:rPr>
                <w:spacing w:val="-6"/>
              </w:rPr>
              <w:t>GD</w:t>
            </w:r>
          </w:p>
        </w:tc>
        <w:tc>
          <w:tcPr>
            <w:tcW w:w="2041" w:type="dxa"/>
            <w:shd w:val="clear" w:color="auto" w:fill="FFF1CC"/>
          </w:tcPr>
          <w:p w:rsidR="00C51ABC" w:rsidRDefault="000E4A59">
            <w:pPr>
              <w:pStyle w:val="TableParagraph"/>
              <w:spacing w:line="264" w:lineRule="exact"/>
              <w:ind w:left="106" w:right="50"/>
            </w:pPr>
            <w:r>
              <w:t>33.4%</w:t>
            </w:r>
          </w:p>
        </w:tc>
        <w:tc>
          <w:tcPr>
            <w:tcW w:w="2271" w:type="dxa"/>
            <w:shd w:val="clear" w:color="auto" w:fill="FFF1CC"/>
          </w:tcPr>
          <w:p w:rsidR="00C51ABC" w:rsidRDefault="007E73BE">
            <w:pPr>
              <w:pStyle w:val="TableParagraph"/>
              <w:spacing w:line="242" w:lineRule="auto"/>
              <w:ind w:left="995" w:right="711" w:hanging="221"/>
              <w:jc w:val="left"/>
            </w:pPr>
            <w:r>
              <w:rPr>
                <w:spacing w:val="-2"/>
              </w:rPr>
              <w:t xml:space="preserve">Reading </w:t>
            </w:r>
            <w:r>
              <w:rPr>
                <w:spacing w:val="-6"/>
              </w:rPr>
              <w:t>GD</w:t>
            </w:r>
          </w:p>
        </w:tc>
        <w:tc>
          <w:tcPr>
            <w:tcW w:w="1426" w:type="dxa"/>
            <w:shd w:val="clear" w:color="auto" w:fill="FFF1CC"/>
          </w:tcPr>
          <w:p w:rsidR="00C51ABC" w:rsidRDefault="000E4A59">
            <w:pPr>
              <w:pStyle w:val="TableParagraph"/>
              <w:spacing w:line="264" w:lineRule="exact"/>
              <w:ind w:right="9"/>
            </w:pPr>
            <w:r>
              <w:t>26.7%</w:t>
            </w:r>
          </w:p>
        </w:tc>
      </w:tr>
      <w:tr w:rsidR="00C51ABC">
        <w:trPr>
          <w:trHeight w:val="710"/>
        </w:trPr>
        <w:tc>
          <w:tcPr>
            <w:tcW w:w="1766" w:type="dxa"/>
            <w:vMerge/>
            <w:tcBorders>
              <w:top w:val="nil"/>
            </w:tcBorders>
          </w:tcPr>
          <w:p w:rsidR="00C51ABC" w:rsidRDefault="00C51ABC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shd w:val="clear" w:color="auto" w:fill="FAE3D4"/>
          </w:tcPr>
          <w:p w:rsidR="00C51ABC" w:rsidRDefault="007E73BE">
            <w:pPr>
              <w:pStyle w:val="TableParagraph"/>
              <w:spacing w:before="1"/>
              <w:ind w:left="475" w:right="317" w:hanging="90"/>
              <w:jc w:val="left"/>
            </w:pPr>
            <w:r>
              <w:rPr>
                <w:spacing w:val="-2"/>
              </w:rPr>
              <w:t xml:space="preserve">Writing </w:t>
            </w:r>
            <w:r>
              <w:t>Exp +</w:t>
            </w:r>
          </w:p>
        </w:tc>
        <w:tc>
          <w:tcPr>
            <w:tcW w:w="2041" w:type="dxa"/>
            <w:shd w:val="clear" w:color="auto" w:fill="FAE3D4"/>
          </w:tcPr>
          <w:p w:rsidR="00C51ABC" w:rsidRDefault="000E4A59">
            <w:pPr>
              <w:pStyle w:val="TableParagraph"/>
              <w:spacing w:before="1"/>
              <w:ind w:left="106" w:right="50"/>
            </w:pPr>
            <w:r>
              <w:t>72.3%</w:t>
            </w:r>
          </w:p>
        </w:tc>
        <w:tc>
          <w:tcPr>
            <w:tcW w:w="2271" w:type="dxa"/>
            <w:shd w:val="clear" w:color="auto" w:fill="FAE3D4"/>
          </w:tcPr>
          <w:p w:rsidR="00C51ABC" w:rsidRDefault="007E73BE">
            <w:pPr>
              <w:pStyle w:val="TableParagraph"/>
              <w:spacing w:before="1"/>
              <w:ind w:left="695" w:right="640"/>
            </w:pPr>
            <w:r>
              <w:rPr>
                <w:spacing w:val="-2"/>
              </w:rPr>
              <w:t xml:space="preserve">Writing </w:t>
            </w:r>
            <w:r>
              <w:t>Exp +</w:t>
            </w:r>
          </w:p>
        </w:tc>
        <w:tc>
          <w:tcPr>
            <w:tcW w:w="1426" w:type="dxa"/>
            <w:shd w:val="clear" w:color="auto" w:fill="FAE3D4"/>
          </w:tcPr>
          <w:p w:rsidR="00C51ABC" w:rsidRDefault="000E4A59">
            <w:pPr>
              <w:pStyle w:val="TableParagraph"/>
              <w:spacing w:before="1"/>
              <w:ind w:right="7"/>
            </w:pPr>
            <w:r>
              <w:t>73.3%</w:t>
            </w:r>
          </w:p>
        </w:tc>
      </w:tr>
    </w:tbl>
    <w:p w:rsidR="00C51ABC" w:rsidRDefault="00C51ABC">
      <w:pPr>
        <w:pStyle w:val="TableParagraph"/>
        <w:sectPr w:rsidR="00C51ABC">
          <w:type w:val="continuous"/>
          <w:pgSz w:w="11910" w:h="16840"/>
          <w:pgMar w:top="680" w:right="1417" w:bottom="1200" w:left="708" w:header="0" w:footer="1001" w:gutter="0"/>
          <w:cols w:space="720"/>
        </w:sectPr>
      </w:pPr>
    </w:p>
    <w:tbl>
      <w:tblPr>
        <w:tblW w:w="0" w:type="auto"/>
        <w:tblInd w:w="80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1435"/>
        <w:gridCol w:w="2041"/>
        <w:gridCol w:w="2271"/>
        <w:gridCol w:w="1426"/>
      </w:tblGrid>
      <w:tr w:rsidR="00C51ABC">
        <w:trPr>
          <w:trHeight w:val="615"/>
        </w:trPr>
        <w:tc>
          <w:tcPr>
            <w:tcW w:w="1766" w:type="dxa"/>
            <w:vMerge w:val="restart"/>
          </w:tcPr>
          <w:p w:rsidR="00C51ABC" w:rsidRDefault="00C51ABC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shd w:val="clear" w:color="auto" w:fill="FAE3D4"/>
          </w:tcPr>
          <w:p w:rsidR="00C51ABC" w:rsidRDefault="007E73BE">
            <w:pPr>
              <w:pStyle w:val="TableParagraph"/>
              <w:spacing w:before="2" w:line="237" w:lineRule="auto"/>
              <w:ind w:left="580" w:right="317" w:hanging="195"/>
              <w:jc w:val="left"/>
            </w:pPr>
            <w:r>
              <w:rPr>
                <w:spacing w:val="-2"/>
              </w:rPr>
              <w:t xml:space="preserve">Writing </w:t>
            </w:r>
            <w:r>
              <w:rPr>
                <w:spacing w:val="-6"/>
              </w:rPr>
              <w:t>GD</w:t>
            </w:r>
          </w:p>
        </w:tc>
        <w:tc>
          <w:tcPr>
            <w:tcW w:w="2041" w:type="dxa"/>
            <w:shd w:val="clear" w:color="auto" w:fill="FAE3D4"/>
          </w:tcPr>
          <w:p w:rsidR="00C51ABC" w:rsidRDefault="000E4A59">
            <w:pPr>
              <w:pStyle w:val="TableParagraph"/>
              <w:ind w:left="106" w:right="50"/>
            </w:pPr>
            <w:r>
              <w:t>12.8%</w:t>
            </w:r>
          </w:p>
        </w:tc>
        <w:tc>
          <w:tcPr>
            <w:tcW w:w="2271" w:type="dxa"/>
            <w:shd w:val="clear" w:color="auto" w:fill="FAE3D4"/>
          </w:tcPr>
          <w:p w:rsidR="00C51ABC" w:rsidRDefault="007E73BE">
            <w:pPr>
              <w:pStyle w:val="TableParagraph"/>
              <w:spacing w:before="2" w:line="237" w:lineRule="auto"/>
              <w:ind w:left="695" w:right="640"/>
            </w:pPr>
            <w:r>
              <w:rPr>
                <w:spacing w:val="-2"/>
              </w:rPr>
              <w:t xml:space="preserve">Writing </w:t>
            </w:r>
            <w:r>
              <w:rPr>
                <w:spacing w:val="-6"/>
              </w:rPr>
              <w:t>GD</w:t>
            </w:r>
          </w:p>
        </w:tc>
        <w:tc>
          <w:tcPr>
            <w:tcW w:w="1426" w:type="dxa"/>
            <w:shd w:val="clear" w:color="auto" w:fill="FAE3D4"/>
          </w:tcPr>
          <w:p w:rsidR="00C51ABC" w:rsidRDefault="000E4A59">
            <w:pPr>
              <w:pStyle w:val="TableParagraph"/>
              <w:ind w:right="9"/>
            </w:pPr>
            <w:r>
              <w:t>16.7%</w:t>
            </w:r>
          </w:p>
        </w:tc>
      </w:tr>
      <w:tr w:rsidR="00C51ABC">
        <w:trPr>
          <w:trHeight w:val="620"/>
        </w:trPr>
        <w:tc>
          <w:tcPr>
            <w:tcW w:w="1766" w:type="dxa"/>
            <w:vMerge/>
            <w:tcBorders>
              <w:top w:val="nil"/>
            </w:tcBorders>
          </w:tcPr>
          <w:p w:rsidR="00C51ABC" w:rsidRDefault="00C51ABC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shd w:val="clear" w:color="auto" w:fill="FAE3D4"/>
          </w:tcPr>
          <w:p w:rsidR="00C51ABC" w:rsidRDefault="007E73BE">
            <w:pPr>
              <w:pStyle w:val="TableParagraph"/>
              <w:ind w:left="475"/>
              <w:jc w:val="left"/>
            </w:pPr>
            <w:r>
              <w:rPr>
                <w:spacing w:val="-4"/>
              </w:rPr>
              <w:t>SPAG</w:t>
            </w:r>
          </w:p>
          <w:p w:rsidR="00C51ABC" w:rsidRDefault="007E73BE">
            <w:pPr>
              <w:pStyle w:val="TableParagraph"/>
              <w:spacing w:before="2"/>
              <w:ind w:left="500"/>
              <w:jc w:val="left"/>
            </w:pPr>
            <w:r>
              <w:rPr>
                <w:spacing w:val="-4"/>
              </w:rPr>
              <w:t>Exp+</w:t>
            </w:r>
          </w:p>
        </w:tc>
        <w:tc>
          <w:tcPr>
            <w:tcW w:w="2041" w:type="dxa"/>
            <w:shd w:val="clear" w:color="auto" w:fill="FAE3D4"/>
          </w:tcPr>
          <w:p w:rsidR="00C51ABC" w:rsidRDefault="000E4A59">
            <w:pPr>
              <w:pStyle w:val="TableParagraph"/>
              <w:ind w:left="106" w:right="50"/>
            </w:pPr>
            <w:r>
              <w:t>72.6%</w:t>
            </w:r>
          </w:p>
        </w:tc>
        <w:tc>
          <w:tcPr>
            <w:tcW w:w="2271" w:type="dxa"/>
            <w:shd w:val="clear" w:color="auto" w:fill="FAE3D4"/>
          </w:tcPr>
          <w:p w:rsidR="00C51ABC" w:rsidRDefault="007E73BE">
            <w:pPr>
              <w:pStyle w:val="TableParagraph"/>
              <w:ind w:left="699" w:right="640"/>
            </w:pPr>
            <w:r>
              <w:rPr>
                <w:spacing w:val="-4"/>
              </w:rPr>
              <w:t>SPAG</w:t>
            </w:r>
          </w:p>
          <w:p w:rsidR="00C51ABC" w:rsidRDefault="007E73BE">
            <w:pPr>
              <w:pStyle w:val="TableParagraph"/>
              <w:spacing w:before="2"/>
              <w:ind w:left="700" w:right="640"/>
            </w:pPr>
            <w:r>
              <w:rPr>
                <w:spacing w:val="-4"/>
              </w:rPr>
              <w:t>Exp+</w:t>
            </w:r>
          </w:p>
        </w:tc>
        <w:tc>
          <w:tcPr>
            <w:tcW w:w="1426" w:type="dxa"/>
            <w:shd w:val="clear" w:color="auto" w:fill="FAE3D4"/>
          </w:tcPr>
          <w:p w:rsidR="00C51ABC" w:rsidRDefault="000E4A59">
            <w:pPr>
              <w:pStyle w:val="TableParagraph"/>
              <w:ind w:right="7"/>
            </w:pPr>
            <w:r>
              <w:t>63.3%</w:t>
            </w:r>
          </w:p>
        </w:tc>
      </w:tr>
      <w:tr w:rsidR="00C51ABC">
        <w:trPr>
          <w:trHeight w:val="615"/>
        </w:trPr>
        <w:tc>
          <w:tcPr>
            <w:tcW w:w="1766" w:type="dxa"/>
            <w:vMerge/>
            <w:tcBorders>
              <w:top w:val="nil"/>
            </w:tcBorders>
          </w:tcPr>
          <w:p w:rsidR="00C51ABC" w:rsidRDefault="00C51ABC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shd w:val="clear" w:color="auto" w:fill="FAE3D4"/>
          </w:tcPr>
          <w:p w:rsidR="00C51ABC" w:rsidRDefault="007E73BE">
            <w:pPr>
              <w:pStyle w:val="TableParagraph"/>
              <w:spacing w:line="242" w:lineRule="auto"/>
              <w:ind w:left="580" w:right="415" w:hanging="105"/>
              <w:jc w:val="left"/>
            </w:pPr>
            <w:r>
              <w:rPr>
                <w:spacing w:val="-4"/>
              </w:rPr>
              <w:t xml:space="preserve">SPAG </w:t>
            </w:r>
            <w:r>
              <w:rPr>
                <w:spacing w:val="-6"/>
              </w:rPr>
              <w:t>GD</w:t>
            </w:r>
          </w:p>
        </w:tc>
        <w:tc>
          <w:tcPr>
            <w:tcW w:w="2041" w:type="dxa"/>
            <w:shd w:val="clear" w:color="auto" w:fill="FAE3D4"/>
          </w:tcPr>
          <w:p w:rsidR="00C51ABC" w:rsidRDefault="000E4A59">
            <w:pPr>
              <w:pStyle w:val="TableParagraph"/>
              <w:spacing w:line="264" w:lineRule="exact"/>
              <w:ind w:left="106" w:right="55"/>
            </w:pPr>
            <w:r>
              <w:t>29.6%</w:t>
            </w:r>
          </w:p>
        </w:tc>
        <w:tc>
          <w:tcPr>
            <w:tcW w:w="2271" w:type="dxa"/>
            <w:shd w:val="clear" w:color="auto" w:fill="FAE3D4"/>
          </w:tcPr>
          <w:p w:rsidR="00C51ABC" w:rsidRDefault="007E73BE">
            <w:pPr>
              <w:pStyle w:val="TableParagraph"/>
              <w:spacing w:line="242" w:lineRule="auto"/>
              <w:ind w:left="793" w:right="731"/>
            </w:pPr>
            <w:r>
              <w:rPr>
                <w:spacing w:val="-4"/>
              </w:rPr>
              <w:t xml:space="preserve">SPAG </w:t>
            </w:r>
            <w:r>
              <w:rPr>
                <w:spacing w:val="-6"/>
              </w:rPr>
              <w:t>GD</w:t>
            </w:r>
          </w:p>
        </w:tc>
        <w:tc>
          <w:tcPr>
            <w:tcW w:w="1426" w:type="dxa"/>
            <w:shd w:val="clear" w:color="auto" w:fill="FAE3D4"/>
          </w:tcPr>
          <w:p w:rsidR="00C51ABC" w:rsidRDefault="000E4A59">
            <w:pPr>
              <w:pStyle w:val="TableParagraph"/>
              <w:spacing w:line="264" w:lineRule="exact"/>
              <w:ind w:right="7"/>
            </w:pPr>
            <w:r>
              <w:t>10%</w:t>
            </w:r>
          </w:p>
        </w:tc>
      </w:tr>
      <w:tr w:rsidR="00C51ABC">
        <w:trPr>
          <w:trHeight w:val="750"/>
        </w:trPr>
        <w:tc>
          <w:tcPr>
            <w:tcW w:w="1766" w:type="dxa"/>
            <w:vMerge/>
            <w:tcBorders>
              <w:top w:val="nil"/>
            </w:tcBorders>
          </w:tcPr>
          <w:p w:rsidR="00C51ABC" w:rsidRDefault="00C51ABC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shd w:val="clear" w:color="auto" w:fill="D9E1F3"/>
          </w:tcPr>
          <w:p w:rsidR="00C51ABC" w:rsidRDefault="007E73BE">
            <w:pPr>
              <w:pStyle w:val="TableParagraph"/>
              <w:spacing w:before="2" w:line="237" w:lineRule="auto"/>
              <w:ind w:left="500" w:right="317" w:hanging="70"/>
              <w:jc w:val="left"/>
            </w:pPr>
            <w:r>
              <w:rPr>
                <w:spacing w:val="-4"/>
              </w:rPr>
              <w:t>Maths Exp+</w:t>
            </w:r>
          </w:p>
        </w:tc>
        <w:tc>
          <w:tcPr>
            <w:tcW w:w="2041" w:type="dxa"/>
            <w:shd w:val="clear" w:color="auto" w:fill="D9E1F3"/>
          </w:tcPr>
          <w:p w:rsidR="00C51ABC" w:rsidRDefault="000E4A59">
            <w:pPr>
              <w:pStyle w:val="TableParagraph"/>
              <w:ind w:left="106" w:right="50"/>
            </w:pPr>
            <w:r>
              <w:t>74.1%</w:t>
            </w:r>
          </w:p>
        </w:tc>
        <w:tc>
          <w:tcPr>
            <w:tcW w:w="2271" w:type="dxa"/>
            <w:shd w:val="clear" w:color="auto" w:fill="D9E1F3"/>
          </w:tcPr>
          <w:p w:rsidR="00C51ABC" w:rsidRDefault="007E73BE">
            <w:pPr>
              <w:pStyle w:val="TableParagraph"/>
              <w:spacing w:before="2" w:line="237" w:lineRule="auto"/>
              <w:ind w:left="751" w:right="688"/>
            </w:pPr>
            <w:r>
              <w:rPr>
                <w:spacing w:val="-4"/>
              </w:rPr>
              <w:t xml:space="preserve">Maths </w:t>
            </w:r>
            <w:r>
              <w:t>Exp +</w:t>
            </w:r>
          </w:p>
        </w:tc>
        <w:tc>
          <w:tcPr>
            <w:tcW w:w="1426" w:type="dxa"/>
            <w:shd w:val="clear" w:color="auto" w:fill="D9E1F3"/>
          </w:tcPr>
          <w:p w:rsidR="00C51ABC" w:rsidRDefault="000E4A59">
            <w:pPr>
              <w:pStyle w:val="TableParagraph"/>
              <w:ind w:right="7"/>
            </w:pPr>
            <w:r>
              <w:t>80%</w:t>
            </w:r>
          </w:p>
        </w:tc>
      </w:tr>
      <w:tr w:rsidR="00C51ABC">
        <w:trPr>
          <w:trHeight w:val="805"/>
        </w:trPr>
        <w:tc>
          <w:tcPr>
            <w:tcW w:w="1766" w:type="dxa"/>
            <w:vMerge/>
            <w:tcBorders>
              <w:top w:val="nil"/>
            </w:tcBorders>
          </w:tcPr>
          <w:p w:rsidR="00C51ABC" w:rsidRDefault="00C51ABC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shd w:val="clear" w:color="auto" w:fill="D9E1F3"/>
          </w:tcPr>
          <w:p w:rsidR="00C51ABC" w:rsidRDefault="007E73BE">
            <w:pPr>
              <w:pStyle w:val="TableParagraph"/>
              <w:spacing w:before="2" w:line="237" w:lineRule="auto"/>
              <w:ind w:left="580" w:right="317" w:hanging="150"/>
              <w:jc w:val="left"/>
            </w:pPr>
            <w:r>
              <w:rPr>
                <w:spacing w:val="-4"/>
              </w:rPr>
              <w:t xml:space="preserve">Maths </w:t>
            </w:r>
            <w:r>
              <w:rPr>
                <w:spacing w:val="-6"/>
              </w:rPr>
              <w:t>GD</w:t>
            </w:r>
          </w:p>
        </w:tc>
        <w:tc>
          <w:tcPr>
            <w:tcW w:w="2041" w:type="dxa"/>
            <w:shd w:val="clear" w:color="auto" w:fill="D9E1F3"/>
          </w:tcPr>
          <w:p w:rsidR="00C51ABC" w:rsidRDefault="000E4A59" w:rsidP="000E4A59">
            <w:pPr>
              <w:pStyle w:val="TableParagraph"/>
              <w:spacing w:before="265"/>
              <w:ind w:left="0" w:right="50"/>
            </w:pPr>
            <w:r>
              <w:t>26.3%</w:t>
            </w:r>
          </w:p>
        </w:tc>
        <w:tc>
          <w:tcPr>
            <w:tcW w:w="2271" w:type="dxa"/>
            <w:shd w:val="clear" w:color="auto" w:fill="D9E1F3"/>
          </w:tcPr>
          <w:p w:rsidR="00C51ABC" w:rsidRDefault="007E73BE">
            <w:pPr>
              <w:pStyle w:val="TableParagraph"/>
              <w:spacing w:before="2" w:line="237" w:lineRule="auto"/>
              <w:ind w:left="751" w:right="688"/>
            </w:pPr>
            <w:r>
              <w:rPr>
                <w:spacing w:val="-4"/>
              </w:rPr>
              <w:t xml:space="preserve">Maths </w:t>
            </w:r>
            <w:r>
              <w:rPr>
                <w:spacing w:val="-6"/>
              </w:rPr>
              <w:t>GD</w:t>
            </w:r>
          </w:p>
        </w:tc>
        <w:tc>
          <w:tcPr>
            <w:tcW w:w="1426" w:type="dxa"/>
            <w:shd w:val="clear" w:color="auto" w:fill="D9E1F3"/>
          </w:tcPr>
          <w:p w:rsidR="00C51ABC" w:rsidRDefault="000E4A59">
            <w:pPr>
              <w:pStyle w:val="TableParagraph"/>
              <w:ind w:right="7"/>
            </w:pPr>
            <w:r w:rsidRPr="00DF3327">
              <w:t>10%</w:t>
            </w:r>
          </w:p>
        </w:tc>
      </w:tr>
      <w:tr w:rsidR="00C51ABC">
        <w:trPr>
          <w:trHeight w:val="840"/>
        </w:trPr>
        <w:tc>
          <w:tcPr>
            <w:tcW w:w="1766" w:type="dxa"/>
            <w:vMerge/>
            <w:tcBorders>
              <w:top w:val="nil"/>
            </w:tcBorders>
          </w:tcPr>
          <w:p w:rsidR="00C51ABC" w:rsidRDefault="00C51ABC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</w:tcPr>
          <w:p w:rsidR="00C51ABC" w:rsidRDefault="007E73BE">
            <w:pPr>
              <w:pStyle w:val="TableParagraph"/>
              <w:ind w:left="465"/>
              <w:jc w:val="left"/>
            </w:pPr>
            <w:r>
              <w:rPr>
                <w:spacing w:val="-5"/>
              </w:rPr>
              <w:t>RWM</w:t>
            </w:r>
          </w:p>
          <w:p w:rsidR="00C51ABC" w:rsidRDefault="007E73BE">
            <w:pPr>
              <w:pStyle w:val="TableParagraph"/>
              <w:spacing w:before="2"/>
              <w:ind w:left="475"/>
              <w:jc w:val="left"/>
            </w:pPr>
            <w:r>
              <w:t xml:space="preserve">Exp </w:t>
            </w:r>
            <w:r>
              <w:rPr>
                <w:spacing w:val="-10"/>
              </w:rPr>
              <w:t>+</w:t>
            </w:r>
          </w:p>
        </w:tc>
        <w:tc>
          <w:tcPr>
            <w:tcW w:w="2041" w:type="dxa"/>
          </w:tcPr>
          <w:p w:rsidR="00C51ABC" w:rsidRDefault="000E4A59">
            <w:pPr>
              <w:pStyle w:val="TableParagraph"/>
              <w:ind w:left="106"/>
            </w:pPr>
            <w:r>
              <w:t>62.2%</w:t>
            </w:r>
          </w:p>
        </w:tc>
        <w:tc>
          <w:tcPr>
            <w:tcW w:w="2271" w:type="dxa"/>
          </w:tcPr>
          <w:p w:rsidR="00C51ABC" w:rsidRDefault="007E73BE">
            <w:pPr>
              <w:pStyle w:val="TableParagraph"/>
              <w:ind w:left="695" w:right="641"/>
            </w:pPr>
            <w:r>
              <w:rPr>
                <w:spacing w:val="-5"/>
              </w:rPr>
              <w:t>RWM</w:t>
            </w:r>
          </w:p>
          <w:p w:rsidR="00C51ABC" w:rsidRDefault="007E73BE">
            <w:pPr>
              <w:pStyle w:val="TableParagraph"/>
              <w:spacing w:before="2"/>
              <w:ind w:left="700" w:right="640"/>
            </w:pPr>
            <w:r>
              <w:t xml:space="preserve">Exp </w:t>
            </w:r>
            <w:r>
              <w:rPr>
                <w:spacing w:val="-10"/>
              </w:rPr>
              <w:t>+</w:t>
            </w:r>
          </w:p>
        </w:tc>
        <w:tc>
          <w:tcPr>
            <w:tcW w:w="1426" w:type="dxa"/>
          </w:tcPr>
          <w:p w:rsidR="00C51ABC" w:rsidRDefault="000E4A59">
            <w:pPr>
              <w:pStyle w:val="TableParagraph"/>
              <w:ind w:right="9"/>
            </w:pPr>
            <w:r>
              <w:t>70%</w:t>
            </w:r>
          </w:p>
        </w:tc>
      </w:tr>
      <w:tr w:rsidR="00C51ABC">
        <w:trPr>
          <w:trHeight w:val="645"/>
        </w:trPr>
        <w:tc>
          <w:tcPr>
            <w:tcW w:w="1766" w:type="dxa"/>
            <w:vMerge/>
            <w:tcBorders>
              <w:top w:val="nil"/>
            </w:tcBorders>
          </w:tcPr>
          <w:p w:rsidR="00C51ABC" w:rsidRDefault="00C51ABC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</w:tcPr>
          <w:p w:rsidR="00C51ABC" w:rsidRDefault="007E73BE">
            <w:pPr>
              <w:pStyle w:val="TableParagraph"/>
              <w:ind w:left="580" w:right="398" w:hanging="115"/>
              <w:jc w:val="left"/>
            </w:pPr>
            <w:r>
              <w:rPr>
                <w:spacing w:val="-4"/>
              </w:rPr>
              <w:t xml:space="preserve">RWM </w:t>
            </w:r>
            <w:r>
              <w:rPr>
                <w:spacing w:val="-6"/>
              </w:rPr>
              <w:t>GD</w:t>
            </w:r>
          </w:p>
        </w:tc>
        <w:tc>
          <w:tcPr>
            <w:tcW w:w="2041" w:type="dxa"/>
          </w:tcPr>
          <w:p w:rsidR="00C51ABC" w:rsidRDefault="000E4A59">
            <w:pPr>
              <w:pStyle w:val="TableParagraph"/>
              <w:ind w:left="106"/>
            </w:pPr>
            <w:r>
              <w:t>8.4%</w:t>
            </w:r>
          </w:p>
        </w:tc>
        <w:tc>
          <w:tcPr>
            <w:tcW w:w="2271" w:type="dxa"/>
          </w:tcPr>
          <w:p w:rsidR="00C51ABC" w:rsidRDefault="007E73BE">
            <w:pPr>
              <w:pStyle w:val="TableParagraph"/>
              <w:ind w:left="793" w:right="737"/>
            </w:pPr>
            <w:r>
              <w:rPr>
                <w:spacing w:val="-4"/>
              </w:rPr>
              <w:t xml:space="preserve">RWM </w:t>
            </w:r>
            <w:r>
              <w:rPr>
                <w:spacing w:val="-6"/>
              </w:rPr>
              <w:t>GD</w:t>
            </w:r>
          </w:p>
        </w:tc>
        <w:tc>
          <w:tcPr>
            <w:tcW w:w="1426" w:type="dxa"/>
          </w:tcPr>
          <w:p w:rsidR="00C51ABC" w:rsidRDefault="000E4A59">
            <w:pPr>
              <w:pStyle w:val="TableParagraph"/>
              <w:ind w:right="9"/>
            </w:pPr>
            <w:r>
              <w:t>3.3%</w:t>
            </w:r>
          </w:p>
        </w:tc>
      </w:tr>
    </w:tbl>
    <w:p w:rsidR="00000000" w:rsidRDefault="007E73BE"/>
    <w:sectPr w:rsidR="00000000">
      <w:type w:val="continuous"/>
      <w:pgSz w:w="11910" w:h="16840"/>
      <w:pgMar w:top="700" w:right="1417" w:bottom="1200" w:left="708" w:header="0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E73BE">
      <w:r>
        <w:separator/>
      </w:r>
    </w:p>
  </w:endnote>
  <w:endnote w:type="continuationSeparator" w:id="0">
    <w:p w:rsidR="00000000" w:rsidRDefault="007E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ABC" w:rsidRDefault="007E73B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3792" behindDoc="1" locked="0" layoutInCell="1" allowOverlap="1">
              <wp:simplePos x="0" y="0"/>
              <wp:positionH relativeFrom="page">
                <wp:posOffset>3706876</wp:posOffset>
              </wp:positionH>
              <wp:positionV relativeFrom="page">
                <wp:posOffset>9918382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1ABC" w:rsidRDefault="007E73BE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780.95pt;width:12.6pt;height:13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" filled="f" stroked="f">
              <v:textbox inset="0,0,0,0">
                <w:txbxContent>
                  <w:p w:rsidR="00C51ABC" w:rsidRDefault="007E73BE">
                    <w:pPr>
                      <w:pStyle w:val="BodyText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E73BE">
      <w:r>
        <w:separator/>
      </w:r>
    </w:p>
  </w:footnote>
  <w:footnote w:type="continuationSeparator" w:id="0">
    <w:p w:rsidR="00000000" w:rsidRDefault="007E7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BC"/>
    <w:rsid w:val="000E4A59"/>
    <w:rsid w:val="006D4885"/>
    <w:rsid w:val="007E73BE"/>
    <w:rsid w:val="00A57BC4"/>
    <w:rsid w:val="00C51ABC"/>
    <w:rsid w:val="00DC02CB"/>
    <w:rsid w:val="00D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B8B9A"/>
  <w15:docId w15:val="{82C432AA-E2BD-4525-8847-BB49A881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Tomlinson</dc:creator>
  <cp:lastModifiedBy>G Mason</cp:lastModifiedBy>
  <cp:revision>2</cp:revision>
  <cp:lastPrinted>2025-09-08T13:22:00Z</cp:lastPrinted>
  <dcterms:created xsi:type="dcterms:W3CDTF">2025-09-08T13:23:00Z</dcterms:created>
  <dcterms:modified xsi:type="dcterms:W3CDTF">2025-09-08T13:23:00Z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2025-09-04T00:00:00Z</vt:filetime>
  </property>
</Properties>
</file>